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12264B45" w:rsidR="00BE3599" w:rsidRPr="00086110" w:rsidRDefault="00086110" w:rsidP="00373DAB">
      <w:pPr>
        <w:jc w:val="center"/>
        <w:rPr>
          <w:rFonts w:cstheme="minorHAnsi"/>
          <w:b/>
        </w:rPr>
      </w:pPr>
      <w:r w:rsidRPr="00086110">
        <w:rPr>
          <w:rFonts w:cstheme="minorHAnsi"/>
          <w:b/>
        </w:rPr>
        <w:t>ČESTNÉ PROHLÁŠENÍ ÚČASTNÍKA VÝBĚROVÉHO ŘÍZENÍ</w:t>
      </w:r>
    </w:p>
    <w:p w14:paraId="2726840A" w14:textId="3A206171" w:rsidR="00D56F49" w:rsidRPr="00086110" w:rsidRDefault="00677DDB" w:rsidP="00D56F49">
      <w:pPr>
        <w:pStyle w:val="Textkomente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9470861"/>
      <w:r w:rsidRPr="00086110">
        <w:rPr>
          <w:rFonts w:asciiTheme="minorHAnsi" w:hAnsiTheme="minorHAnsi" w:cstheme="minorHAnsi"/>
          <w:color w:val="000000"/>
          <w:sz w:val="22"/>
          <w:szCs w:val="22"/>
        </w:rPr>
        <w:t>„</w:t>
      </w:r>
      <w:bookmarkStart w:id="1" w:name="_Hlk198713037"/>
      <w:r w:rsidRPr="00086110">
        <w:rPr>
          <w:rFonts w:asciiTheme="minorHAnsi" w:hAnsiTheme="minorHAnsi" w:cstheme="minorHAnsi"/>
          <w:color w:val="000000"/>
          <w:sz w:val="22"/>
          <w:szCs w:val="22"/>
        </w:rPr>
        <w:t>Zařízení a vybavení DĚTSKÉ SKUPINY TACHOV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>– OPAKOVANÉ ŘÍZENÍ</w:t>
      </w:r>
      <w:r w:rsidRPr="00086110">
        <w:rPr>
          <w:rFonts w:asciiTheme="minorHAnsi" w:hAnsiTheme="minorHAnsi" w:cstheme="minorHAnsi"/>
          <w:color w:val="000000"/>
          <w:sz w:val="22"/>
          <w:szCs w:val="22"/>
        </w:rPr>
        <w:t>“</w:t>
      </w:r>
      <w:bookmarkEnd w:id="0"/>
      <w:bookmarkEnd w:id="1"/>
    </w:p>
    <w:p w14:paraId="5A94665B" w14:textId="1EA145D6" w:rsidR="00086110" w:rsidRPr="00DE3D24" w:rsidRDefault="00DE3D24" w:rsidP="00DE3D24">
      <w:pPr>
        <w:pStyle w:val="Odstavecseseznamem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3. </w:t>
      </w:r>
      <w:r w:rsidR="00086110" w:rsidRPr="00DE3D24">
        <w:rPr>
          <w:rFonts w:asciiTheme="minorHAnsi" w:hAnsiTheme="minorHAnsi" w:cstheme="minorHAnsi"/>
          <w:b/>
          <w:bCs/>
          <w:sz w:val="22"/>
        </w:rPr>
        <w:t xml:space="preserve">část – </w:t>
      </w:r>
      <w:r w:rsidR="00F91518" w:rsidRPr="00DE3D24">
        <w:rPr>
          <w:rFonts w:asciiTheme="minorHAnsi" w:hAnsiTheme="minorHAnsi" w:cstheme="minorHAnsi"/>
          <w:b/>
          <w:bCs/>
          <w:sz w:val="22"/>
        </w:rPr>
        <w:t xml:space="preserve">vybavení </w:t>
      </w:r>
      <w:r>
        <w:rPr>
          <w:rFonts w:asciiTheme="minorHAnsi" w:hAnsiTheme="minorHAnsi" w:cstheme="minorHAnsi"/>
          <w:b/>
          <w:bCs/>
          <w:sz w:val="22"/>
        </w:rPr>
        <w:t>zahrady</w:t>
      </w:r>
    </w:p>
    <w:p w14:paraId="43633774" w14:textId="77777777" w:rsidR="00086110" w:rsidRDefault="00086110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60FD9531" w14:textId="77777777" w:rsidR="00BE3599" w:rsidRPr="00086110" w:rsidRDefault="00BE3599" w:rsidP="00086110">
      <w:pPr>
        <w:spacing w:line="240" w:lineRule="exact"/>
        <w:jc w:val="both"/>
        <w:rPr>
          <w:rFonts w:cstheme="minorHAnsi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CF51" w14:textId="77777777" w:rsidR="00BD08D5" w:rsidRDefault="00BD08D5" w:rsidP="00356AB6">
      <w:pPr>
        <w:spacing w:after="0" w:line="240" w:lineRule="auto"/>
      </w:pPr>
      <w:r>
        <w:separator/>
      </w:r>
    </w:p>
  </w:endnote>
  <w:endnote w:type="continuationSeparator" w:id="0">
    <w:p w14:paraId="55FE7CC7" w14:textId="77777777" w:rsidR="00BD08D5" w:rsidRDefault="00BD08D5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C06C" w14:textId="77777777" w:rsidR="00BD08D5" w:rsidRDefault="00BD08D5" w:rsidP="00356AB6">
      <w:pPr>
        <w:spacing w:after="0" w:line="240" w:lineRule="auto"/>
      </w:pPr>
      <w:r>
        <w:separator/>
      </w:r>
    </w:p>
  </w:footnote>
  <w:footnote w:type="continuationSeparator" w:id="0">
    <w:p w14:paraId="7779A042" w14:textId="77777777" w:rsidR="00BD08D5" w:rsidRDefault="00BD08D5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CF0" w14:textId="67AA1D5F" w:rsidR="00677DDB" w:rsidRDefault="00677DD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796728">
      <w:rPr>
        <w:noProof/>
      </w:rPr>
      <w:drawing>
        <wp:inline distT="0" distB="0" distL="0" distR="0" wp14:anchorId="0435A978" wp14:editId="02193DD9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4C847" w14:textId="55D29FF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4B35"/>
    <w:multiLevelType w:val="hybridMultilevel"/>
    <w:tmpl w:val="2392DE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2A7169"/>
    <w:multiLevelType w:val="hybridMultilevel"/>
    <w:tmpl w:val="308A942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10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935477">
    <w:abstractNumId w:val="8"/>
  </w:num>
  <w:num w:numId="10" w16cid:durableId="1260870659">
    <w:abstractNumId w:val="9"/>
  </w:num>
  <w:num w:numId="11" w16cid:durableId="606548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134AC"/>
    <w:rsid w:val="000749AD"/>
    <w:rsid w:val="00086110"/>
    <w:rsid w:val="00356AB6"/>
    <w:rsid w:val="00373DAB"/>
    <w:rsid w:val="003D25E0"/>
    <w:rsid w:val="00442282"/>
    <w:rsid w:val="00453EED"/>
    <w:rsid w:val="004901C2"/>
    <w:rsid w:val="004C582D"/>
    <w:rsid w:val="004E18D0"/>
    <w:rsid w:val="005C3522"/>
    <w:rsid w:val="00602C45"/>
    <w:rsid w:val="00636CA0"/>
    <w:rsid w:val="006722B5"/>
    <w:rsid w:val="00677DDB"/>
    <w:rsid w:val="006964B4"/>
    <w:rsid w:val="006E749E"/>
    <w:rsid w:val="007F312B"/>
    <w:rsid w:val="0084480C"/>
    <w:rsid w:val="008B27AE"/>
    <w:rsid w:val="008B314A"/>
    <w:rsid w:val="00A3634E"/>
    <w:rsid w:val="00B53BD3"/>
    <w:rsid w:val="00BA5BA9"/>
    <w:rsid w:val="00BC56D1"/>
    <w:rsid w:val="00BD08D5"/>
    <w:rsid w:val="00BE07E4"/>
    <w:rsid w:val="00BE3599"/>
    <w:rsid w:val="00C13910"/>
    <w:rsid w:val="00D22D71"/>
    <w:rsid w:val="00D56F49"/>
    <w:rsid w:val="00DE3D24"/>
    <w:rsid w:val="00DF5202"/>
    <w:rsid w:val="00DF706D"/>
    <w:rsid w:val="00E83FAE"/>
    <w:rsid w:val="00F025B7"/>
    <w:rsid w:val="00F75A5F"/>
    <w:rsid w:val="00F91518"/>
    <w:rsid w:val="00FA125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D56F49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2</cp:revision>
  <cp:lastPrinted>2023-12-15T12:50:00Z</cp:lastPrinted>
  <dcterms:created xsi:type="dcterms:W3CDTF">2025-10-23T09:06:00Z</dcterms:created>
  <dcterms:modified xsi:type="dcterms:W3CDTF">2025-10-23T09:06:00Z</dcterms:modified>
</cp:coreProperties>
</file>